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4DB5" w14:textId="77777777" w:rsidR="0024044D" w:rsidRDefault="00F13E02">
      <w:pPr>
        <w:spacing w:after="21" w:line="259" w:lineRule="auto"/>
        <w:ind w:left="0" w:right="0" w:firstLine="0"/>
        <w:jc w:val="left"/>
      </w:pPr>
      <w:r>
        <w:rPr>
          <w:b/>
        </w:rPr>
        <w:t xml:space="preserve">NEMZETI KÖZSZOLGÁLATI EGYETEM </w:t>
      </w:r>
    </w:p>
    <w:p w14:paraId="1C45FE6F" w14:textId="77777777" w:rsidR="0024044D" w:rsidRDefault="00F13E02">
      <w:pPr>
        <w:tabs>
          <w:tab w:val="center" w:pos="2156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  </w:t>
      </w:r>
      <w:r>
        <w:rPr>
          <w:b/>
        </w:rPr>
        <w:tab/>
        <w:t xml:space="preserve">  </w:t>
      </w:r>
      <w:r>
        <w:rPr>
          <w:b/>
          <w:u w:val="single" w:color="000000"/>
        </w:rPr>
        <w:t>Katasztrófavédelmi Intézet</w:t>
      </w:r>
      <w:r>
        <w:rPr>
          <w:b/>
        </w:rPr>
        <w:t xml:space="preserve"> </w:t>
      </w:r>
    </w:p>
    <w:p w14:paraId="443EAE75" w14:textId="77777777" w:rsidR="0024044D" w:rsidRDefault="00F13E02">
      <w:pPr>
        <w:spacing w:after="0" w:line="259" w:lineRule="auto"/>
        <w:ind w:left="54" w:right="0" w:firstLine="0"/>
        <w:jc w:val="center"/>
      </w:pPr>
      <w:r>
        <w:t xml:space="preserve"> </w:t>
      </w:r>
    </w:p>
    <w:p w14:paraId="33B798F2" w14:textId="77777777" w:rsidR="0024044D" w:rsidRDefault="00F13E02">
      <w:pPr>
        <w:spacing w:after="26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2573389C" w14:textId="77777777" w:rsidR="0024044D" w:rsidRDefault="00F13E02">
      <w:pPr>
        <w:spacing w:after="0" w:line="259" w:lineRule="auto"/>
        <w:ind w:right="8"/>
        <w:jc w:val="center"/>
      </w:pPr>
      <w:r>
        <w:rPr>
          <w:b/>
        </w:rPr>
        <w:t xml:space="preserve">ZÁRÓVIZSGA TÉMAKÖRÖK </w:t>
      </w:r>
    </w:p>
    <w:p w14:paraId="504F7118" w14:textId="77777777" w:rsidR="0024044D" w:rsidRDefault="00F13E02">
      <w:pPr>
        <w:spacing w:after="0" w:line="259" w:lineRule="auto"/>
        <w:ind w:right="3"/>
        <w:jc w:val="center"/>
      </w:pPr>
      <w:r>
        <w:rPr>
          <w:b/>
        </w:rPr>
        <w:t xml:space="preserve">Tűzvédelem és mentésirányítás 1-2.  </w:t>
      </w:r>
    </w:p>
    <w:p w14:paraId="12B276F2" w14:textId="3A9439AF" w:rsidR="0024044D" w:rsidRDefault="00F13E02">
      <w:pPr>
        <w:spacing w:after="0" w:line="259" w:lineRule="auto"/>
        <w:ind w:left="0" w:firstLine="0"/>
        <w:jc w:val="center"/>
      </w:pPr>
      <w:r>
        <w:t>202</w:t>
      </w:r>
      <w:r w:rsidR="008627BD">
        <w:t>5</w:t>
      </w:r>
      <w:r>
        <w:t xml:space="preserve"> </w:t>
      </w:r>
    </w:p>
    <w:p w14:paraId="6389D17E" w14:textId="77777777" w:rsidR="0024044D" w:rsidRDefault="00F13E02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</w:p>
    <w:p w14:paraId="3936B5BA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F0D323" wp14:editId="68E0B31D">
                <wp:extent cx="5796661" cy="6096"/>
                <wp:effectExtent l="0" t="0" r="0" b="0"/>
                <wp:docPr id="2826" name="Group 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29" name="Shape 3529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6" style="width:456.43pt;height:0.47998pt;mso-position-horizontal-relative:char;mso-position-vertical-relative:line" coordsize="57966,60">
                <v:shape id="Shape 3530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E66A14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5C803C02" w14:textId="77777777" w:rsidR="003E026D" w:rsidRDefault="00F13E02">
      <w:pPr>
        <w:ind w:left="422" w:right="0"/>
      </w:pPr>
      <w:r>
        <w:t xml:space="preserve">A tűzvédelem hazai rendszere, főbb feladatai a tűzvédelmi és a katasztrófavédelmi törvény alapján.  </w:t>
      </w:r>
    </w:p>
    <w:p w14:paraId="75DE7273" w14:textId="2350FEC3" w:rsidR="0024044D" w:rsidRDefault="00F13E02" w:rsidP="008627BD">
      <w:pPr>
        <w:ind w:left="422" w:right="0"/>
      </w:pPr>
      <w:r>
        <w:t xml:space="preserve">A megelőző tűzvédelem rendszere és szabályozása. A megelőző tűzvédelem célkitűzései, a tűzvédelmi szabályozás felépítése </w:t>
      </w:r>
    </w:p>
    <w:p w14:paraId="71D98F46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4451BB" wp14:editId="4B001F84">
                <wp:extent cx="5796661" cy="6096"/>
                <wp:effectExtent l="0" t="0" r="0" b="0"/>
                <wp:docPr id="2827" name="Group 2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31" name="Shape 3531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7" style="width:456.43pt;height:0.47998pt;mso-position-horizontal-relative:char;mso-position-vertical-relative:line" coordsize="57966,60">
                <v:shape id="Shape 3532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5A670B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212FD927" w14:textId="77777777" w:rsidR="003E026D" w:rsidRDefault="00F13E02">
      <w:pPr>
        <w:ind w:left="422" w:right="0"/>
      </w:pPr>
      <w:r>
        <w:t xml:space="preserve">A tűzvédelmi létesítés főbb alapszabályai: tűzveszélyességi osztályba sorolás, kockázati osztályba sorolás. A megelőző tűzvédelem rendszere és szabályozása. </w:t>
      </w:r>
    </w:p>
    <w:p w14:paraId="7F944EB2" w14:textId="3FD1618A" w:rsidR="0024044D" w:rsidRDefault="00F13E02" w:rsidP="008627BD">
      <w:pPr>
        <w:ind w:left="422" w:right="0"/>
      </w:pPr>
      <w:r>
        <w:t xml:space="preserve">A tűzvédelmi létesítés főbb szabályai: általános szerkezeti követelmények, tűzterjedés elleni védelem, tűzoltói beavatkozás feltételeinek biztosítása </w:t>
      </w:r>
    </w:p>
    <w:p w14:paraId="779C11ED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C5E7B6" wp14:editId="69572C5F">
                <wp:extent cx="5796661" cy="6096"/>
                <wp:effectExtent l="0" t="0" r="0" b="0"/>
                <wp:docPr id="2828" name="Group 2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33" name="Shape 353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8" style="width:456.43pt;height:0.480011pt;mso-position-horizontal-relative:char;mso-position-vertical-relative:line" coordsize="57966,60">
                <v:shape id="Shape 3534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689654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7C5BD746" w14:textId="77777777" w:rsidR="003E026D" w:rsidRDefault="00F13E02">
      <w:pPr>
        <w:ind w:left="422" w:right="0"/>
      </w:pPr>
      <w:r>
        <w:t xml:space="preserve">A tűzszakaszolás elve. A tűzszakaszoláshoz kapcsolódó fogalmak. Tűzszakaszok elválasztása, tűzgátló szerkezetek. </w:t>
      </w:r>
    </w:p>
    <w:p w14:paraId="49297B26" w14:textId="7E9D5F70" w:rsidR="0024044D" w:rsidRDefault="00F13E02" w:rsidP="008627BD">
      <w:pPr>
        <w:ind w:left="422" w:right="0"/>
      </w:pPr>
      <w:r>
        <w:t xml:space="preserve">Tűzszakaszok, tűzgátló szerkezetek követelményei, műszaki kialakításuk (tűzterjedés elleni gátak, tűzfal kialakítása, ereszképzések). </w:t>
      </w:r>
    </w:p>
    <w:p w14:paraId="57663CAA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4E30FF" wp14:editId="62BA8379">
                <wp:extent cx="5796661" cy="6096"/>
                <wp:effectExtent l="0" t="0" r="0" b="0"/>
                <wp:docPr id="2829" name="Group 2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35" name="Shape 353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29" style="width:456.43pt;height:0.480011pt;mso-position-horizontal-relative:char;mso-position-vertical-relative:line" coordsize="57966,60">
                <v:shape id="Shape 3536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8323A20" w14:textId="77777777" w:rsidR="0024044D" w:rsidRDefault="00F13E02" w:rsidP="003E026D">
      <w:pPr>
        <w:pStyle w:val="Listaszerbekezds"/>
        <w:numPr>
          <w:ilvl w:val="0"/>
          <w:numId w:val="1"/>
        </w:numPr>
        <w:spacing w:after="160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09EC947A" w14:textId="77777777" w:rsidR="003E026D" w:rsidRDefault="00F13E02">
      <w:pPr>
        <w:ind w:left="422" w:right="0"/>
      </w:pPr>
      <w:r>
        <w:t xml:space="preserve">A tűzvédelmi létesítés főbb szabályai: általános szerkezeti követelmények, tűzterjedés elleni védelem, tűzoltói beavatkozás feltételeinek biztosítása. </w:t>
      </w:r>
    </w:p>
    <w:p w14:paraId="5408BE4C" w14:textId="77777777" w:rsidR="0024044D" w:rsidRDefault="00F13E02">
      <w:pPr>
        <w:ind w:left="422" w:right="0"/>
      </w:pPr>
      <w:r>
        <w:t xml:space="preserve">Az égéselmélet alapjai (hőtan, halmazállapot-változás, gyulladás, égés, égéstermékek, hőtranszportok). </w:t>
      </w:r>
    </w:p>
    <w:p w14:paraId="3E007A3C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5294D2" wp14:editId="03240A4B">
                <wp:extent cx="5796661" cy="6096"/>
                <wp:effectExtent l="0" t="0" r="0" b="0"/>
                <wp:docPr id="2830" name="Group 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37" name="Shape 3537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0" style="width:456.43pt;height:0.480011pt;mso-position-horizontal-relative:char;mso-position-vertical-relative:line" coordsize="57966,60">
                <v:shape id="Shape 3538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5E169B" w14:textId="77777777" w:rsidR="0024044D" w:rsidRDefault="00F13E02" w:rsidP="003E026D">
      <w:pPr>
        <w:pStyle w:val="Listaszerbekezds"/>
        <w:numPr>
          <w:ilvl w:val="0"/>
          <w:numId w:val="1"/>
        </w:numPr>
        <w:spacing w:after="156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3B9604BC" w14:textId="77777777" w:rsidR="003E026D" w:rsidRDefault="00F13E02">
      <w:pPr>
        <w:ind w:left="422" w:right="0"/>
      </w:pPr>
      <w:r>
        <w:t xml:space="preserve">A tűzvédelmi létesítés főbb szabályai: kiürítés, menekítés, hő- és füstelvezetés szabályai. </w:t>
      </w:r>
    </w:p>
    <w:p w14:paraId="054084A1" w14:textId="77777777" w:rsidR="0024044D" w:rsidRDefault="00F13E02">
      <w:pPr>
        <w:ind w:left="422" w:right="0"/>
      </w:pPr>
      <w:r>
        <w:t xml:space="preserve">A gázcsere folyamatok égéselméleti háttere, zárt téri és nyílt téri gázcsere. Az égéstermékek jellemzői.  </w:t>
      </w:r>
    </w:p>
    <w:p w14:paraId="2D3F320C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AB9619" wp14:editId="09A9EF11">
                <wp:extent cx="5796661" cy="6096"/>
                <wp:effectExtent l="0" t="0" r="0" b="0"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39" name="Shape 3539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1" style="width:456.43pt;height:0.47998pt;mso-position-horizontal-relative:char;mso-position-vertical-relative:line" coordsize="57966,60">
                <v:shape id="Shape 3540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8F1E1EF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12755263" w14:textId="77777777" w:rsidR="003E026D" w:rsidRDefault="00F13E02">
      <w:pPr>
        <w:ind w:left="422" w:right="0"/>
      </w:pPr>
      <w:r>
        <w:t xml:space="preserve">A megelőző tűzvédelem főbb használati szabályai: általános szabályok, tárolás szabályai, robbanásveszélyes anyagok kezelése. </w:t>
      </w:r>
    </w:p>
    <w:p w14:paraId="5543FA67" w14:textId="58CB0DF0" w:rsidR="0024044D" w:rsidRDefault="00F13E02" w:rsidP="008627BD">
      <w:pPr>
        <w:ind w:left="422" w:right="0"/>
      </w:pPr>
      <w:r>
        <w:t xml:space="preserve">A gyújtóforrások formái, a fa meggyulladásának folyamata égéselméleti szempontból.  </w:t>
      </w:r>
    </w:p>
    <w:p w14:paraId="4EB469B1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lastRenderedPageBreak/>
        <w:t xml:space="preserve">Tűzvédelem és mentésirányítás 1-2.  </w:t>
      </w:r>
    </w:p>
    <w:p w14:paraId="7A478BF4" w14:textId="77777777" w:rsidR="003E026D" w:rsidRDefault="00F13E02">
      <w:pPr>
        <w:ind w:left="422" w:right="0"/>
      </w:pPr>
      <w:r>
        <w:t xml:space="preserve">A megelőző tűzvédelem főbb használati szabályai: tűzveszélyes tevékenység szabályai, karbantartás, felülvizsgálat, ellenőrzés szabályai. </w:t>
      </w:r>
    </w:p>
    <w:p w14:paraId="622B4E43" w14:textId="1048A406" w:rsidR="0024044D" w:rsidRDefault="00F13E02" w:rsidP="008627BD">
      <w:pPr>
        <w:ind w:left="422" w:right="0"/>
      </w:pPr>
      <w:r>
        <w:t xml:space="preserve">Az öngyulladás lehetősége és égéselméleti magyarázata.  </w:t>
      </w:r>
    </w:p>
    <w:p w14:paraId="326657A0" w14:textId="77777777" w:rsidR="0024044D" w:rsidRDefault="00F13E02" w:rsidP="00B87F05">
      <w:pPr>
        <w:tabs>
          <w:tab w:val="center" w:pos="4534"/>
        </w:tabs>
        <w:spacing w:after="0" w:line="259" w:lineRule="auto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0C65EC6" wp14:editId="152E9751">
                <wp:extent cx="5796661" cy="6096"/>
                <wp:effectExtent l="0" t="0" r="0" b="0"/>
                <wp:docPr id="2936" name="Group 2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43" name="Shape 354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6" style="width:456.43pt;height:0.47998pt;mso-position-horizontal-relative:char;mso-position-vertical-relative:line" coordsize="57966,60">
                <v:shape id="Shape 3544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3C758F" w14:textId="77777777" w:rsidR="0024044D" w:rsidRDefault="00F13E02" w:rsidP="003E026D">
      <w:pPr>
        <w:pStyle w:val="Listaszerbekezds"/>
        <w:numPr>
          <w:ilvl w:val="0"/>
          <w:numId w:val="1"/>
        </w:numPr>
        <w:spacing w:after="161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7976C005" w14:textId="77777777" w:rsidR="003E026D" w:rsidRDefault="00F13E02">
      <w:pPr>
        <w:ind w:left="422" w:right="0"/>
      </w:pPr>
      <w:r>
        <w:t xml:space="preserve">A mentő tűzvédelem rendszere és szabályozása. </w:t>
      </w:r>
    </w:p>
    <w:p w14:paraId="40DCF058" w14:textId="3D30BD71" w:rsidR="0024044D" w:rsidRDefault="00F13E02" w:rsidP="008627BD">
      <w:pPr>
        <w:ind w:left="422" w:right="0"/>
      </w:pPr>
      <w:r>
        <w:t xml:space="preserve">A közép-, és magas épületek tüzeinek jellemzői, a riasztási fokozat meghatározásának szabályai, a tűzoltás feladatai, a tűzoltás irányításának rendje.   </w:t>
      </w:r>
    </w:p>
    <w:p w14:paraId="76FD2FB0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6FB98C" wp14:editId="542DEF66">
                <wp:extent cx="5796661" cy="6096"/>
                <wp:effectExtent l="0" t="0" r="0" b="0"/>
                <wp:docPr id="2937" name="Group 2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45" name="Shape 354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7" style="width:456.43pt;height:0.47998pt;mso-position-horizontal-relative:char;mso-position-vertical-relative:line" coordsize="57966,60">
                <v:shape id="Shape 3546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A1B7D54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3BA3EC3D" w14:textId="77777777" w:rsidR="003E026D" w:rsidRDefault="00F13E02">
      <w:pPr>
        <w:ind w:left="422" w:right="0"/>
      </w:pPr>
      <w:r>
        <w:t xml:space="preserve">A mentő tűzvédelemben érintett szervezetek. Az önkormányzati és létesítményi tűzoltóságok, valamint az önkéntes tűzoltó egyesületek helye, szerepe a mentő tűzvédelemben. </w:t>
      </w:r>
    </w:p>
    <w:p w14:paraId="1AAAA925" w14:textId="77777777" w:rsidR="0024044D" w:rsidRDefault="00F13E02" w:rsidP="003E026D">
      <w:pPr>
        <w:ind w:left="422" w:right="0"/>
      </w:pPr>
      <w:r>
        <w:t xml:space="preserve">A fehér foltok és a tűzoltás hatékonyságának összefüggései.   </w:t>
      </w:r>
    </w:p>
    <w:p w14:paraId="2027A0C6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145F719" wp14:editId="742521CB">
                <wp:extent cx="5796661" cy="6096"/>
                <wp:effectExtent l="0" t="0" r="0" b="0"/>
                <wp:docPr id="2938" name="Group 2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47" name="Shape 3547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8" style="width:456.43pt;height:0.47998pt;mso-position-horizontal-relative:char;mso-position-vertical-relative:line" coordsize="57966,60">
                <v:shape id="Shape 3548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B4F857A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24C05FFB" w14:textId="77777777" w:rsidR="003E026D" w:rsidRDefault="00F13E02">
      <w:pPr>
        <w:ind w:left="422" w:right="0"/>
      </w:pPr>
      <w:r>
        <w:t xml:space="preserve">A műveletirányítás helye, szerepe a tűzvédelemben, működésének jellemzői és tevékenységének hatása a beavatkozások hatékonyságára. </w:t>
      </w:r>
    </w:p>
    <w:p w14:paraId="032EDEAE" w14:textId="77777777" w:rsidR="0024044D" w:rsidRDefault="00F13E02" w:rsidP="003E026D">
      <w:pPr>
        <w:ind w:left="422" w:right="0"/>
      </w:pPr>
      <w:r>
        <w:t xml:space="preserve">A beavatkozás szabályai veszélyes anyagok jelenlétében.   </w:t>
      </w:r>
    </w:p>
    <w:p w14:paraId="3821590E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8E4CED" wp14:editId="2129FFEF">
                <wp:extent cx="5796661" cy="6096"/>
                <wp:effectExtent l="0" t="0" r="0" b="0"/>
                <wp:docPr id="2939" name="Group 2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49" name="Shape 3549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9" style="width:456.43pt;height:0.47998pt;mso-position-horizontal-relative:char;mso-position-vertical-relative:line" coordsize="57966,60">
                <v:shape id="Shape 3550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624F7E" w14:textId="77777777" w:rsidR="00FE1685" w:rsidRPr="003E026D" w:rsidRDefault="00F13E02" w:rsidP="003E026D">
      <w:pPr>
        <w:pStyle w:val="Listaszerbekezds"/>
        <w:numPr>
          <w:ilvl w:val="0"/>
          <w:numId w:val="1"/>
        </w:numPr>
        <w:spacing w:line="240" w:lineRule="auto"/>
        <w:ind w:right="0"/>
        <w:rPr>
          <w:rFonts w:ascii="Calibri" w:eastAsia="Calibri" w:hAnsi="Calibri" w:cs="Calibri"/>
          <w:b/>
        </w:rPr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40908AB6" w14:textId="77777777" w:rsidR="00FE1685" w:rsidRDefault="00FE1685" w:rsidP="00475431">
      <w:pPr>
        <w:spacing w:line="240" w:lineRule="auto"/>
        <w:ind w:left="427" w:right="0" w:hanging="427"/>
        <w:rPr>
          <w:rFonts w:ascii="Calibri" w:eastAsia="Calibri" w:hAnsi="Calibri" w:cs="Calibri"/>
          <w:b/>
        </w:rPr>
      </w:pPr>
    </w:p>
    <w:p w14:paraId="04263E5D" w14:textId="77777777" w:rsidR="003E026D" w:rsidRDefault="00F13E02" w:rsidP="00FE1685">
      <w:pPr>
        <w:spacing w:line="240" w:lineRule="auto"/>
        <w:ind w:left="427" w:right="0" w:firstLine="0"/>
      </w:pPr>
      <w:r>
        <w:t xml:space="preserve">A tűzvizsgálat szerepe a tűzvédelemben, a tűzvizsgálat rendszere és szabályozása: tűzvizsgálati eljárás szabályai, menete. </w:t>
      </w:r>
    </w:p>
    <w:p w14:paraId="28275C7D" w14:textId="6A80E95E" w:rsidR="0024044D" w:rsidRDefault="00F13E02" w:rsidP="008627BD">
      <w:pPr>
        <w:spacing w:line="240" w:lineRule="auto"/>
        <w:ind w:left="427" w:right="0" w:firstLine="0"/>
      </w:pPr>
      <w:r>
        <w:t xml:space="preserve">Bűncselekmény gyanújának észlelése és a tevékenység rendje.  </w:t>
      </w:r>
    </w:p>
    <w:p w14:paraId="0913E3A8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4C3383" wp14:editId="7D611190">
                <wp:extent cx="5796661" cy="6096"/>
                <wp:effectExtent l="0" t="0" r="0" b="0"/>
                <wp:docPr id="2940" name="Group 2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51" name="Shape 3551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0" style="width:456.43pt;height:0.480011pt;mso-position-horizontal-relative:char;mso-position-vertical-relative:line" coordsize="57966,60">
                <v:shape id="Shape 3552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B115901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43906550" w14:textId="77777777" w:rsidR="003E026D" w:rsidRDefault="00F13E02">
      <w:pPr>
        <w:ind w:left="422" w:right="0"/>
      </w:pPr>
      <w:r>
        <w:t xml:space="preserve">A tűzvizsgálat rendszere és szabályozása: helyszíni szemle, összefoglaló jelentés, tűzvizsgálati jelentés, szabvány szerinti fő gyújtóforrások. </w:t>
      </w:r>
    </w:p>
    <w:p w14:paraId="158B81C3" w14:textId="77777777" w:rsidR="0024044D" w:rsidRDefault="00F13E02" w:rsidP="003E026D">
      <w:pPr>
        <w:ind w:left="422" w:right="0"/>
      </w:pPr>
      <w:r>
        <w:t xml:space="preserve">A tanú meghallgatásának szabályai.  </w:t>
      </w:r>
    </w:p>
    <w:p w14:paraId="23FDC532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EBAD83" wp14:editId="5F6C3927">
                <wp:extent cx="5796661" cy="6096"/>
                <wp:effectExtent l="0" t="0" r="0" b="0"/>
                <wp:docPr id="2941" name="Group 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53" name="Shape 355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1" style="width:456.43pt;height:0.480011pt;mso-position-horizontal-relative:char;mso-position-vertical-relative:line" coordsize="57966,60">
                <v:shape id="Shape 3554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82E136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0D06AA7D" w14:textId="77777777" w:rsidR="003E026D" w:rsidRDefault="00F13E02">
      <w:pPr>
        <w:ind w:left="422" w:right="0"/>
      </w:pPr>
      <w:r>
        <w:t xml:space="preserve">A tűzoltáshoz szükséges oltóvíz biztosítása (a mértékadó tűzszakasz, tűzcsap, fali tűzcsap, oltóvíz tározó). Tűztávolság fogalma, célja, meghatározásának módja, körülményei. </w:t>
      </w:r>
    </w:p>
    <w:p w14:paraId="1C96FB89" w14:textId="1AC1E542" w:rsidR="0024044D" w:rsidRDefault="00F13E02" w:rsidP="008627BD">
      <w:pPr>
        <w:ind w:left="422" w:right="0"/>
      </w:pPr>
      <w:r>
        <w:t xml:space="preserve">A víz, mint oltóanyag jellemzése.  </w:t>
      </w:r>
    </w:p>
    <w:p w14:paraId="673C7123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D980B5" wp14:editId="142B7D0B">
                <wp:extent cx="5796661" cy="6096"/>
                <wp:effectExtent l="0" t="0" r="0" b="0"/>
                <wp:docPr id="2942" name="Group 2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55" name="Shape 355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2" style="width:456.43pt;height:0.47998pt;mso-position-horizontal-relative:char;mso-position-vertical-relative:line" coordsize="57966,60">
                <v:shape id="Shape 3556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4CD38AA" w14:textId="77777777" w:rsidR="0024044D" w:rsidRDefault="00F13E02" w:rsidP="003E026D">
      <w:pPr>
        <w:pStyle w:val="Listaszerbekezds"/>
        <w:numPr>
          <w:ilvl w:val="0"/>
          <w:numId w:val="1"/>
        </w:numPr>
        <w:spacing w:after="156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6893CB14" w14:textId="0C16918F" w:rsidR="0024044D" w:rsidRDefault="00F13E02" w:rsidP="008627BD">
      <w:pPr>
        <w:ind w:left="422" w:right="0"/>
      </w:pPr>
      <w:r>
        <w:t xml:space="preserve">Az oltáselmélet alapjai, a tűzoltás módjai és az </w:t>
      </w:r>
      <w:r w:rsidR="001A5D32">
        <w:t xml:space="preserve">egyes oltóanyagok oltóhatásai, azok </w:t>
      </w:r>
      <w:r>
        <w:t>jellemzése</w:t>
      </w:r>
      <w:r w:rsidR="001A5D32">
        <w:t>. A</w:t>
      </w:r>
      <w:r>
        <w:t xml:space="preserve"> víz, az oltóhabok, az oltóporok és az oltógázok jellemzői, oltási mechanizmusuk.   </w:t>
      </w:r>
    </w:p>
    <w:p w14:paraId="08E2A0BA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68C7F1" wp14:editId="45CB4430">
                <wp:extent cx="5796661" cy="6096"/>
                <wp:effectExtent l="0" t="0" r="0" b="0"/>
                <wp:docPr id="2943" name="Group 2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57" name="Shape 3557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43" style="width:456.43pt;height:0.47998pt;mso-position-horizontal-relative:char;mso-position-vertical-relative:line" coordsize="57966,60">
                <v:shape id="Shape 3558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3CA69B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lastRenderedPageBreak/>
        <w:t xml:space="preserve">Tűzvédelem és mentésirányítás 1-2.  </w:t>
      </w:r>
    </w:p>
    <w:p w14:paraId="26D07A80" w14:textId="77777777" w:rsidR="003E026D" w:rsidRDefault="00F13E02">
      <w:pPr>
        <w:ind w:left="422" w:right="0"/>
      </w:pPr>
      <w:r>
        <w:t xml:space="preserve">A tűzjelzés, a riasztás fogalma, az azokkal kapcsolatos feladatok, továbbá a riasztási fokozatok, annak meghatározási szempontjai. </w:t>
      </w:r>
    </w:p>
    <w:p w14:paraId="1FA6192D" w14:textId="2C636063" w:rsidR="0024044D" w:rsidRDefault="00F13E02" w:rsidP="008627BD">
      <w:pPr>
        <w:ind w:left="422" w:right="0"/>
      </w:pPr>
      <w:r>
        <w:t xml:space="preserve">A tűzoltói beavatkozást segítő tervek fajtái, céljai, felépítésük és használatuk. A műveletirányító terv és a tűzoltási és műszaki mentési tervek </w:t>
      </w:r>
    </w:p>
    <w:p w14:paraId="4220A83E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03C4E6" wp14:editId="05A56EC5">
                <wp:extent cx="5796661" cy="6096"/>
                <wp:effectExtent l="0" t="0" r="0" b="0"/>
                <wp:docPr id="2729" name="Group 27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59" name="Shape 3559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29" style="width:456.43pt;height:0.47998pt;mso-position-horizontal-relative:char;mso-position-vertical-relative:line" coordsize="57966,60">
                <v:shape id="Shape 3560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E324A4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1A01AAC8" w14:textId="77777777" w:rsidR="003E026D" w:rsidRDefault="00F13E02">
      <w:pPr>
        <w:ind w:left="422" w:right="0"/>
      </w:pPr>
      <w:r>
        <w:t>A tűzoltás vezetésére jogosultak köre. A tűzoltásvezető jogai és kötelességei a vonatkozó jogszabályok alapján.</w:t>
      </w:r>
      <w:r>
        <w:rPr>
          <w:rFonts w:ascii="Arial" w:eastAsia="Arial" w:hAnsi="Arial" w:cs="Arial"/>
          <w:b/>
          <w:i/>
        </w:rPr>
        <w:t xml:space="preserve"> </w:t>
      </w:r>
      <w:r>
        <w:t xml:space="preserve"> </w:t>
      </w:r>
    </w:p>
    <w:p w14:paraId="4D01703B" w14:textId="77777777" w:rsidR="003E026D" w:rsidRDefault="00F13E02" w:rsidP="003E026D">
      <w:pPr>
        <w:ind w:left="422" w:right="0"/>
      </w:pPr>
      <w:r>
        <w:t xml:space="preserve">A kivonulás rendje és a tűzoltás vezetés átadás- átvételének szabályai. </w:t>
      </w:r>
    </w:p>
    <w:p w14:paraId="4B3B5C67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972C6C" wp14:editId="608FEF31">
                <wp:extent cx="5796661" cy="6096"/>
                <wp:effectExtent l="0" t="0" r="0" b="0"/>
                <wp:docPr id="2730" name="Group 2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61" name="Shape 3561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0" style="width:456.43pt;height:0.47998pt;mso-position-horizontal-relative:char;mso-position-vertical-relative:line" coordsize="57966,60">
                <v:shape id="Shape 3562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F54B482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2F9DB7F1" w14:textId="77777777" w:rsidR="003E026D" w:rsidRDefault="00F13E02">
      <w:pPr>
        <w:ind w:left="422" w:right="0"/>
      </w:pPr>
      <w:r>
        <w:t xml:space="preserve">A tűzoltás irányításának módjai, valamint a tűzoltásnál szervezhető beosztások megnevezése és jelölése, azok feladatai. </w:t>
      </w:r>
    </w:p>
    <w:p w14:paraId="1CDB33DD" w14:textId="66B6338B" w:rsidR="0024044D" w:rsidRDefault="00F13E02" w:rsidP="008627BD">
      <w:pPr>
        <w:ind w:left="422" w:right="0"/>
      </w:pPr>
      <w:r>
        <w:t>A tűzoltósági gyakorlatok típusai, szerep</w:t>
      </w:r>
      <w:r w:rsidR="001A5D32">
        <w:t>ük</w:t>
      </w:r>
      <w:r>
        <w:t xml:space="preserve"> a mentő tűzvédelemben  </w:t>
      </w:r>
    </w:p>
    <w:p w14:paraId="20616DE5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D82157" wp14:editId="5A83C7B8">
                <wp:extent cx="5796661" cy="6096"/>
                <wp:effectExtent l="0" t="0" r="0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63" name="Shape 356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1" style="width:456.43pt;height:0.47998pt;mso-position-horizontal-relative:char;mso-position-vertical-relative:line" coordsize="57966,60">
                <v:shape id="Shape 3564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C19E0A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22D8DA26" w14:textId="77777777" w:rsidR="003E026D" w:rsidRDefault="00F13E02">
      <w:pPr>
        <w:ind w:left="422" w:right="0"/>
      </w:pPr>
      <w:r>
        <w:t xml:space="preserve">A társszervekkel való együttműködés rendje és lehetőségei. </w:t>
      </w:r>
    </w:p>
    <w:p w14:paraId="499178F4" w14:textId="2DAAE139" w:rsidR="0024044D" w:rsidRDefault="00F13E02" w:rsidP="008627BD">
      <w:pPr>
        <w:ind w:left="422" w:right="0"/>
      </w:pPr>
      <w:r>
        <w:t xml:space="preserve">Az erdőtüzek megelőzésének lehetőségei, a kialakult tüzek jellemzése és sajátosságai, a bevethető erők és eszközök, továbbá a felszámolás általános szabályai.  </w:t>
      </w:r>
    </w:p>
    <w:p w14:paraId="6CDA0939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91B1C4" wp14:editId="4C5D7076">
                <wp:extent cx="5796661" cy="6096"/>
                <wp:effectExtent l="0" t="0" r="0" b="0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65" name="Shape 3565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2" style="width:456.43pt;height:0.47998pt;mso-position-horizontal-relative:char;mso-position-vertical-relative:line" coordsize="57966,60">
                <v:shape id="Shape 3566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A0AEB8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465B889C" w14:textId="77777777" w:rsidR="003E026D" w:rsidRDefault="00F13E02">
      <w:pPr>
        <w:ind w:left="422" w:right="0"/>
      </w:pPr>
      <w:r>
        <w:t xml:space="preserve">A közlekedési balesetek sajátosságai, a bevethető erők és eszközök, továbbá a felszámolás általános szabályai. </w:t>
      </w:r>
    </w:p>
    <w:p w14:paraId="40949240" w14:textId="77777777" w:rsidR="0024044D" w:rsidRDefault="00F13E02" w:rsidP="003E026D">
      <w:pPr>
        <w:ind w:left="422" w:right="0"/>
      </w:pPr>
      <w:r>
        <w:t xml:space="preserve">A közúti járművek tüzei esetén a riasztás, vonulás szabályai, valamint a tűzoltásvezető feladatai.  </w:t>
      </w:r>
    </w:p>
    <w:p w14:paraId="1EBB8954" w14:textId="77777777" w:rsidR="0024044D" w:rsidRDefault="00F13E02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B04AEA" wp14:editId="0136CA01">
                <wp:extent cx="5796661" cy="6096"/>
                <wp:effectExtent l="0" t="0" r="0" b="0"/>
                <wp:docPr id="2733" name="Group 2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567" name="Shape 3567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33" style="width:456.43pt;height:0.480011pt;mso-position-horizontal-relative:char;mso-position-vertical-relative:line" coordsize="57966,60">
                <v:shape id="Shape 3568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901A75" w14:textId="77777777" w:rsidR="0024044D" w:rsidRDefault="00F13E02" w:rsidP="003E026D">
      <w:pPr>
        <w:pStyle w:val="Listaszerbekezds"/>
        <w:numPr>
          <w:ilvl w:val="0"/>
          <w:numId w:val="1"/>
        </w:numPr>
        <w:spacing w:after="112" w:line="259" w:lineRule="auto"/>
        <w:ind w:right="0"/>
        <w:jc w:val="left"/>
      </w:pPr>
      <w:r w:rsidRPr="003E026D">
        <w:rPr>
          <w:rFonts w:ascii="Calibri" w:eastAsia="Calibri" w:hAnsi="Calibri" w:cs="Calibri"/>
          <w:b/>
        </w:rPr>
        <w:t xml:space="preserve">Tűzvédelem és mentésirányítás 1-2.  </w:t>
      </w:r>
    </w:p>
    <w:p w14:paraId="0253C42A" w14:textId="77777777" w:rsidR="003E026D" w:rsidRDefault="00F13E02">
      <w:pPr>
        <w:ind w:left="422" w:right="0"/>
      </w:pPr>
      <w:r>
        <w:t xml:space="preserve">A tűzjelzés, a riasztás fogalma, az azokkal kapcsolatos feladatok, továbbá a riasztási fokozatok, annak meghatározási szempontjai. </w:t>
      </w:r>
    </w:p>
    <w:p w14:paraId="62992193" w14:textId="77777777" w:rsidR="0024044D" w:rsidRDefault="00F13E02">
      <w:pPr>
        <w:ind w:left="422" w:right="0"/>
      </w:pPr>
      <w:r>
        <w:t xml:space="preserve">Az életmentés, és a tűzoltás fogalma, az azokkal kapcsolatos feladatok a vonatkozó </w:t>
      </w:r>
      <w:r w:rsidR="001A5D32">
        <w:t>szabályozások</w:t>
      </w:r>
      <w:r>
        <w:t xml:space="preserve"> alapján.  </w:t>
      </w:r>
    </w:p>
    <w:p w14:paraId="27A9E597" w14:textId="77777777" w:rsidR="003E026D" w:rsidRDefault="003E026D" w:rsidP="003E026D">
      <w:pPr>
        <w:spacing w:after="70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F0376B" wp14:editId="738AE068">
                <wp:extent cx="5796661" cy="6096"/>
                <wp:effectExtent l="0" t="0" r="0" b="0"/>
                <wp:docPr id="1" name="Group 29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" name="Shape 3553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6AD1A" id="Group 2941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">
                <v:shape id="Shape 3553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14:paraId="3BD98C86" w14:textId="77777777" w:rsidR="003E026D" w:rsidRDefault="003E026D">
      <w:pPr>
        <w:ind w:left="422" w:right="0"/>
      </w:pPr>
    </w:p>
    <w:sectPr w:rsidR="003E026D">
      <w:pgSz w:w="11906" w:h="16838"/>
      <w:pgMar w:top="716" w:right="1413" w:bottom="198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97B00"/>
    <w:multiLevelType w:val="hybridMultilevel"/>
    <w:tmpl w:val="1DAA5D60"/>
    <w:lvl w:ilvl="0" w:tplc="768E80C2">
      <w:start w:val="1"/>
      <w:numFmt w:val="decimal"/>
      <w:lvlText w:val="%1."/>
      <w:lvlJc w:val="left"/>
      <w:pPr>
        <w:ind w:left="345" w:hanging="360"/>
      </w:pPr>
      <w:rPr>
        <w:rFonts w:ascii="Calibri" w:eastAsia="Calibri" w:hAnsi="Calibri" w:cs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53831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4D"/>
    <w:rsid w:val="001A5D32"/>
    <w:rsid w:val="0024044D"/>
    <w:rsid w:val="002F2DE8"/>
    <w:rsid w:val="00301870"/>
    <w:rsid w:val="003E026D"/>
    <w:rsid w:val="00475431"/>
    <w:rsid w:val="00736511"/>
    <w:rsid w:val="008627BD"/>
    <w:rsid w:val="00B87F05"/>
    <w:rsid w:val="00F13E02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F59B"/>
  <w15:docId w15:val="{1C65C935-17C5-4FF2-8C2B-680DF32A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subject/>
  <dc:creator>drerdosa</dc:creator>
  <cp:keywords/>
  <cp:lastModifiedBy>Pántya Péter</cp:lastModifiedBy>
  <cp:revision>3</cp:revision>
  <dcterms:created xsi:type="dcterms:W3CDTF">2024-03-01T09:34:00Z</dcterms:created>
  <dcterms:modified xsi:type="dcterms:W3CDTF">2025-04-08T16:45:00Z</dcterms:modified>
</cp:coreProperties>
</file>